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Dotyczy: </w:t>
      </w:r>
      <w:r>
        <w:rPr>
          <w:rFonts w:cs="Times New Roman" w:ascii="Times New Roman" w:hAnsi="Times New Roman"/>
          <w:sz w:val="24"/>
          <w:szCs w:val="24"/>
        </w:rPr>
        <w:t>zamówienia publicznego w trybie z wolnej ręki, na podstawie art. 305 pkt 1 w zw. z art. 214 ust. 1 pkt 13 ustawy</w:t>
      </w:r>
      <w:r>
        <w:rPr>
          <w:rFonts w:cs="Times New Roman" w:ascii="Times New Roman" w:hAnsi="Times New Roman"/>
          <w:b/>
          <w:bCs/>
          <w:sz w:val="24"/>
          <w:szCs w:val="24"/>
        </w:rPr>
        <w:t xml:space="preserve"> </w:t>
      </w:r>
      <w:r>
        <w:rPr>
          <w:rFonts w:cs="Times New Roman" w:ascii="Times New Roman" w:hAnsi="Times New Roman"/>
          <w:sz w:val="24"/>
          <w:szCs w:val="24"/>
        </w:rPr>
        <w:t>z dnia 11 września 2019 r. – Prawo zamówień publicznych na: „</w:t>
      </w:r>
      <w:r>
        <w:rPr>
          <w:rFonts w:cs="Times New Roman" w:ascii="Times New Roman" w:hAnsi="Times New Roman"/>
          <w:i/>
          <w:iCs/>
          <w:sz w:val="24"/>
          <w:szCs w:val="24"/>
        </w:rPr>
        <w:t>Odbiór i transport odpadów komunalnych od właścicieli nieruchomości zamieszkałych na terenie gminy</w:t>
      </w: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Jasionówka</w:t>
      </w:r>
      <w:r>
        <w:rPr>
          <w:rFonts w:cs="Times New Roman" w:ascii="Times New Roman" w:hAnsi="Times New Roman"/>
          <w:sz w:val="24"/>
          <w:szCs w:val="24"/>
          <w:shd w:fill="auto" w:val="clear"/>
        </w:rPr>
        <w:t>”</w:t>
      </w:r>
      <w:r>
        <w:rPr>
          <w:rFonts w:cs="Times New Roman" w:ascii="Times New Roman" w:hAnsi="Times New Roman"/>
          <w:sz w:val="24"/>
          <w:szCs w:val="24"/>
        </w:rPr>
        <w:t xml:space="preserve">, numer referencyjny: </w:t>
      </w:r>
      <w:r>
        <w:rPr>
          <w:rFonts w:cs="Times New Roman" w:ascii="Times New Roman" w:hAnsi="Times New Roman"/>
          <w:b/>
          <w:bCs/>
          <w:sz w:val="24"/>
          <w:szCs w:val="24"/>
        </w:rPr>
        <w:t>Or.271.23.2024</w:t>
      </w:r>
    </w:p>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12" w:before="0" w:after="0"/>
        <w:jc w:val="center"/>
        <w:rPr>
          <w:rFonts w:ascii="Times New Roman" w:hAnsi="Times New Roman" w:cs="Times New Roman"/>
          <w:b/>
          <w:bCs/>
          <w:sz w:val="24"/>
          <w:szCs w:val="24"/>
        </w:rPr>
      </w:pPr>
      <w:r>
        <w:rPr>
          <w:rFonts w:cs="Times New Roman" w:ascii="Times New Roman" w:hAnsi="Times New Roman"/>
          <w:b/>
          <w:bCs/>
          <w:sz w:val="24"/>
          <w:szCs w:val="24"/>
        </w:rPr>
        <w:t>Uzasadnienie faktyczne i prawne wyboru trybu zamówienia z wolnej ręki</w:t>
      </w:r>
    </w:p>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Spełnione są przesłanki określone w art. 305 pkt 1 w zw. z art. 214 ust. 1 pkt 13 Pzp. Zamawiający wspólnie z innymi Zamawiającymi (Wspólnikami), sprawuje nad Wykonawcą kontrolę, która odpowiada kontroli sprawowanej przez nich nad własnymi jednostkami. W szczególności w skład organów decyzyjnych Wykonawcy wchodzą przedstawiciele wszystkich Wspólników, kontrolujący Zamawiający mogą wspólnie wywierać dominujący wpływ na cele strategiczne oraz istotne decyzje Wykonawcy, a Wykonawca nie działa w interesie sprzecznym z interesami Zamawiających sprawujących nad nim kontrolę. Ponadto 100% działalności Wykonawcy dotyczy wykonywania zadań powierzonych mu przez Zamawiających sprawujących kontrolę. W kapitale Wykonawcy nie ma bezpośredniego udziału kapitału prywatnego.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auto" w:line="312" w:before="0" w:after="0"/>
        <w:ind w:left="426" w:hanging="426"/>
        <w:contextualSpacing/>
        <w:jc w:val="both"/>
        <w:rPr>
          <w:rFonts w:ascii="Times New Roman" w:hAnsi="Times New Roman" w:cs="Times New Roman"/>
          <w:b/>
          <w:bCs/>
          <w:sz w:val="24"/>
          <w:szCs w:val="24"/>
        </w:rPr>
      </w:pPr>
      <w:r>
        <w:rPr>
          <w:rFonts w:cs="Times New Roman" w:ascii="Times New Roman" w:hAnsi="Times New Roman"/>
          <w:b/>
          <w:bCs/>
          <w:sz w:val="24"/>
          <w:szCs w:val="24"/>
        </w:rPr>
        <w:t xml:space="preserve">Sprawowanie kontroli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Gmina </w:t>
      </w:r>
      <w:r>
        <w:rPr>
          <w:rFonts w:cs="Times New Roman" w:ascii="Times New Roman" w:hAnsi="Times New Roman"/>
          <w:sz w:val="24"/>
          <w:szCs w:val="24"/>
          <w:shd w:fill="auto" w:val="clear"/>
        </w:rPr>
        <w:t>Jasionówka</w:t>
      </w:r>
      <w:r>
        <w:rPr>
          <w:rFonts w:cs="Times New Roman" w:ascii="Times New Roman" w:hAnsi="Times New Roman"/>
          <w:sz w:val="24"/>
          <w:szCs w:val="24"/>
        </w:rPr>
        <w:t xml:space="preserve"> jest zamawiającym, o którym mowa w art. 4 pkt 1 Pzp. Zamawiający wspólnie z innymi Zamawiającymi, o których mowa w art. 4 pkt 1 i 4 Pzp, sprawuje nad Wykonawcą  </w:t>
      </w:r>
      <w:r>
        <w:rPr>
          <w:rFonts w:eastAsia="Times New Roman" w:cs="Times New Roman" w:ascii="Times New Roman" w:hAnsi="Times New Roman"/>
          <w:sz w:val="24"/>
          <w:szCs w:val="24"/>
          <w:lang w:eastAsia="pl-PL"/>
        </w:rPr>
        <w:t>BiomTrans spółką z ograniczoną odpowiedzialnością z siedzibą w Dolistowie Starym</w:t>
      </w:r>
      <w:r>
        <w:rPr>
          <w:rFonts w:cs="Times New Roman" w:ascii="Times New Roman" w:hAnsi="Times New Roman"/>
          <w:sz w:val="24"/>
          <w:szCs w:val="24"/>
        </w:rPr>
        <w:t xml:space="preserve"> (dalej jako </w:t>
      </w:r>
      <w:r>
        <w:rPr>
          <w:rFonts w:cs="Times New Roman" w:ascii="Times New Roman" w:hAnsi="Times New Roman"/>
          <w:b/>
          <w:bCs/>
          <w:sz w:val="24"/>
          <w:szCs w:val="24"/>
        </w:rPr>
        <w:t>BT</w:t>
      </w:r>
      <w:r>
        <w:rPr>
          <w:rFonts w:cs="Times New Roman" w:ascii="Times New Roman" w:hAnsi="Times New Roman"/>
          <w:sz w:val="24"/>
          <w:szCs w:val="24"/>
        </w:rPr>
        <w:t>) kontrolę, która odpowiada kontroli sprawowanej przez nich nad własnymi jednostkami. Kontrola sprawowana jest łącznie przez Zamawiającego oraz wspólników BT, tj.</w:t>
      </w:r>
      <w:r>
        <w:rPr>
          <w:rFonts w:cs="Times New Roman" w:ascii="Times New Roman" w:hAnsi="Times New Roman"/>
          <w:sz w:val="24"/>
          <w:szCs w:val="24"/>
          <w:shd w:fill="auto" w:val="clear"/>
        </w:rPr>
        <w:t xml:space="preserve"> Gminę Augustów, Gminę Bargłów Kościelny, Gminę Goniądz, Gminę Grajewo, Gminę Janów, Gminę Jaświły, Gminę Knyszyn, Gminę Korycin, Gminę Krypno, Gminę Lipsk, Gminę Nowinka, Gminę Rajgród, Gminę Sztabin i</w:t>
      </w:r>
      <w:r>
        <w:rPr>
          <w:rFonts w:cs="Times New Roman" w:ascii="Times New Roman" w:hAnsi="Times New Roman"/>
          <w:sz w:val="24"/>
          <w:szCs w:val="24"/>
        </w:rPr>
        <w:t xml:space="preserve"> Związek Gmin „Kumiałka-Biebrza”. Wyłącznie wskazane podmioty, czyli zamawiający publiczni, są wspólnikami BT.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BT jest spółką powołaną w celu wykonywania zadań własnych Gmin. Głównym celem działalności BT jest zaspakajanie potrzeb mieszkańców w zakresie zadań własnych Gmin, związanych z gospodarką odpadami poprzez świadczenie usług o charakterze użyteczności publicznej (§ 10 ust. 3 umowy Spółki BT). Przedmiotem działalności BT jest wyłącznie działalność związana ze zbieraniem, przetwarzaniem i unieszkodliwianiem odpadów, odzysk surowców i działalność związana z rekultywacją i pozostała działalność usługowa związana z gospodarką odpadami (§ 10 ust. 1 umowy Spółki BT). Terenem działalności Spółki jest wyłącznie obszar Gmin będących Wspólnikami Spółki (§ 5 umowy spółki BT). Spółka została powołana, aby działać w interesie Zamawiającego i pozostałych Wspólników Spółki. Wykonawca nie działa więc w interesie sprzecznym z interesami Zamawiających sprawujących nad nim kontrolę.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Zamawiający kontrolujący BT mają bezpośredni wpływ na skład organów decyzyjnych kontrolowanej Spółki.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Kontrolujący Zamawiający wywierają dominujący wpływ na cele strategiczne oraz istotne decyzje kontrolowanej osoby prawnej. Szereg uprawnień przyznaje kontrolującym Zamawiającym umowa spółki BT.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Prawo Wspólników do sprawowania indywidualnej kontroli nie zostało wyłączone ani ograniczone oraz nie ma jakichkolwiek ograniczeń w wykonywaniu przez Wspólników prawa głosu z posiadanych udziałów. Ograniczono jednocześnie możliwość zbycia i nabywania udziałów w Spółce przez podmioty trzecie, w szczególności poprzez przyznanie prawa pierwszeństwa Wspólnikom w objęciu zbywanych udziałów (§ 13 umowy Spółki BT) oraz prawa pierwszeństwa Wspólnikom w objęciu udziałów w podwyższonym kapitale zakładowym (§ 14 umowy Spółki BT).</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Zgodnie z art. 212 § 1 ustawy z dnia 15 września 2000 r. – Kodeks spółek handlowych (dalej jako </w:t>
      </w:r>
      <w:r>
        <w:rPr>
          <w:rFonts w:cs="Times New Roman" w:ascii="Times New Roman" w:hAnsi="Times New Roman"/>
          <w:b/>
          <w:bCs/>
          <w:sz w:val="24"/>
          <w:szCs w:val="24"/>
        </w:rPr>
        <w:t>ksh</w:t>
      </w:r>
      <w:r>
        <w:rPr>
          <w:rFonts w:cs="Times New Roman" w:ascii="Times New Roman" w:hAnsi="Times New Roman"/>
          <w:sz w:val="24"/>
          <w:szCs w:val="24"/>
        </w:rPr>
        <w:t xml:space="preserve">), prawo kontroli służy każdemu wspólnikowi. W tym celu wspólnik lub wspólnik z upoważnioną przez siebie osobą może w każdym czasie przeglądać księgi i dokumenty spółki, sporządzać bilans dla swego użytku lub żądać wyjaśnień od zarządu. Regułą jest, że wspólnikom przysługuje prawo kontroli osobistej spółki, uprawnienie to wspólnicy mają z mocy prawa. Jest ono niezależne od wielkości posiadanego udziału w kapitale zakładowym, stanowi prawo osobiste wspólnika.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W skład organów decyzyjnych BT wchodzą przedstawiciele wszystkich uczestniczących zamawiających. Kontrolujący Zamawiający mają bezpośredni wpływ na skład zarówno organu zarządzającego, jak i nadzorczego BT.</w:t>
      </w:r>
    </w:p>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Zgromadzenie Wspólników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Kontrolujący Zamawiający tworzą Zgromadzenie Wspólników, czyli najwyższy organ decyzyjny BT. W skład Zgromadzenia Wspólników wchodzę więc wszyscy kontrolujący Zamawiający (działający przez swoich przedstawicieli).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Zgromadzenie Wspólników posiada najwyższe kompetencje w zakresie wpływu na działalność przedsiębiorstwa, a także na skład pozostałych organów BT. W szczególności Zgromadzenie Wspólników decyduje o podziale zysku osiąganego przez BT, a także decyduje o sposobie pokrycia ewentualnej straty. Zgromadzenie Wspólników decyduje także o kierunku rozwoju Spółki i o jej planach działalności gospodarczej oraz zatwierdza roczne i wieloletnie plany finansowe i operacyjne.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Zgromadzenie Wspólników, poza kwestiami wynikającymi wprost z przepisów prawa, podejmuje decyzje również w następującym zakresie:</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udziale BT w innych spółkach i przedsiębiorstwach,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zbywaniu, nabywaniu i obciążaniu nieruchomości,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kwestiach roszczeń naprawczych na skutek szkód wyrządzonych podczas tworzenia Spółki lub w trakcie zarządzania nią lub też wykonywania zadań przez Zarząd,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zbyciu i wydzierżawieniu przedsiębiorstwa lub jego zorganizowanej części oraz ustanowieniu na nich ograniczonego prawa rzeczowego,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zbyciu, nabyciu lub obciążeniu urządzeń służących do trwałego użytku Spółki o wartości powyżej kwoty 200.000,00 zł,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emisji obligacji, </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połączeniu lub przekształceniu Spółki, tworzeniu i przystępowaniu do spółek,  przystępowaniu do spółdzielni i występo</w:t>
        <w:softHyphen/>
        <w:t>waniu z nich,</w:t>
      </w:r>
    </w:p>
    <w:p>
      <w:pPr>
        <w:pStyle w:val="ListParagraph"/>
        <w:numPr>
          <w:ilvl w:val="0"/>
          <w:numId w:val="1"/>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podejmowaniu inwestycji, zaciąganiu zobowiązań lub zawieraniu umów o wartości przekraczającej kwotę 200.000,00 zł.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Każdy z uczestniczących Zamawiających – Wspólników BT korzysta z prawa głosu na Zgromadzeniu Wspólników, posiadając liczbę głosów odpowiednią do liczby posiadanych udziałów. Prawa żadnego z wspólników nie zostały w żadnym zakresie ograniczone, czy wyłączone. Za wyrokiem KIO z dnia 4 października 2019 r.: „</w:t>
      </w:r>
      <w:r>
        <w:rPr>
          <w:rFonts w:cs="Times New Roman" w:ascii="Times New Roman" w:hAnsi="Times New Roman"/>
          <w:i/>
          <w:iCs/>
          <w:sz w:val="24"/>
          <w:szCs w:val="24"/>
        </w:rPr>
        <w:t>Uwzględniając dorobek orzeczniczy Trybunału Sprawiedliwości, w doktrynie wskazuje się, że dominujący wpływ na cele strategiczne powinien być rozumiany jako skupienie po stronie zamawiającego wykonującego kontrolę nad daną osobą prawną kompetencji w zakresie wyznaczania celów, do których realizacji została powołana dana osoba prawna, czy też modyfikacji tych celów. Dominujący wpływ na cele strategiczne to także możność wiążącego powierzenia danej osobie prawnej realizacji zadania publicznego, do którego realizacji obowiązany jest zamawiający i w celu realizacji którego powołał do życia daną osobę prawną. W tym kontekście wpływ na cele strategiczne nie powinien być rozumiany jako formalny brak autonomii woli po stronie kontrolowanej osoby prawnej, lecz jako możliwość oddziaływania poprzez działania faktyczne i prawne na realizację powierzonych zadań. Przejawem dominującego wpływu na cele strategiczne będzie konieczność uzgadniania (w ramach ładu korporacyjnego lub w związku z narzuconymi postanowieniami umownymi) kluczowych działań inwestycyjnych i rozwojowych. Z kolei wpływ na istotne decyzje dotyczące zarządzania sprawami osoby prawnej to konieczność uzgadniania (w tym także w postaci zgód korporacyjnych) czynności doniosłych (istotnych) z uwagi na skalę prowadzonej działalności oraz brak autonomicznych uprawnień organu zarządzającego danej osoby prawnej gwarantujących jej daleko posuniętą niezależność decyzyjną (por. J. Jerzykowski (w:) W. Dzierżanowski, J. Jerzykowski, M. Stachowiak "Prawo zamówień publicznych. Komentarz" wyd. VII, WKP 2018)</w:t>
      </w:r>
      <w:r>
        <w:rPr>
          <w:rFonts w:cs="Times New Roman" w:ascii="Times New Roman" w:hAnsi="Times New Roman"/>
          <w:sz w:val="24"/>
          <w:szCs w:val="24"/>
        </w:rPr>
        <w:t>” (Wyrok KIO z dnia 4.10.2019 r., sygn. akt: KIO 1842/19).</w:t>
      </w:r>
    </w:p>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Rada Nadzorcza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Zgromadzenie Wspólników, czyli również każdy z uczestniczących Zamawiających,  powołuje i odwołuje członków Rady Nadzorczej BT. Zgromadzenie Wspólników ma więc bezpośredni wpływ na skład Rady Nadzorczej BT. Rada Nadzorcza BT powoływana jest</w:t>
      </w:r>
      <w:r>
        <w:rPr>
          <w:rFonts w:eastAsia="Times New Roman" w:cs="Times New Roman" w:ascii="Times New Roman" w:hAnsi="Times New Roman"/>
          <w:i/>
          <w:iCs/>
          <w:sz w:val="24"/>
          <w:szCs w:val="24"/>
          <w:lang w:eastAsia="pl-PL"/>
        </w:rPr>
        <w:t xml:space="preserve"> </w:t>
      </w:r>
      <w:r>
        <w:rPr>
          <w:rFonts w:cs="Times New Roman" w:ascii="Times New Roman" w:hAnsi="Times New Roman"/>
          <w:sz w:val="24"/>
          <w:szCs w:val="24"/>
        </w:rPr>
        <w:t xml:space="preserve">spośród kandydatów przedstawionych przez Wspólników. Każdy Wspólnik ma prawo wskazania jednego kandydata na członka Rady Nadzorczej BT. O tym, którzy z wskazanych kandydatów wejdą ostateczne w skład Rady Nadzorczej, decydują Wspólnicy (Zgromadzenie Wspólników) w głosowaniu. Obecni członkowie Rady Nadzorczej BT powołani zostali spośród kandydatów przedstawionych przez Wspólników, uchwałami podjętymi na Nadzwyczajnym Zgromadzeniu Wspólników w dniu 18.11.2022 r. Zgromadzenie Wspólników decyduje również o liczbie członków Rady Nadzorczej i wysokości wynagrodzenia członków Rady Nadzorczej. Zgromadzenie Wspólników zatwierdza również regulamin działania Rady Nadzorczej.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Każda z osób wchodzących aktualnie w skład Rady Nadzorczej stanowi przedstawiciela każdego ze Wspólników (Zamawiających).</w:t>
      </w:r>
      <w:r>
        <w:rPr/>
        <w:t xml:space="preserve"> </w:t>
      </w:r>
      <w:r>
        <w:rPr>
          <w:rFonts w:cs="Times New Roman" w:ascii="Times New Roman" w:hAnsi="Times New Roman"/>
          <w:sz w:val="24"/>
          <w:szCs w:val="24"/>
        </w:rPr>
        <w:t>Każdy z tych wspólników głosował „za” powołaniem każdej z tych osób na Członka Rady Nadzorczej BT. Każdy z uczestniczących Zamawiających podjął więc świadomie decyzję, że chce, aby osoby wchodzące w skład Rady Nadzorczej BT reprezentowały interesy wspólników, w tym Zamawiający, w ramach pełnienia funkcji Członka Rady Nadzorczej. Jednocześnie, podczas wyborów aktualnego składu Rady Nadzorczej, nie wskazano innych kandydatów, którzy nie zostaliby wybrani na członków Rady Nadzorczej.</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Członkowie Rady Nadzorczej Przystępującego, tj. Andrzej Zbigniew Chmielewski, Katarzyna Doroszkiewicz, Rafał Szkal-Egird i Adam Jabłoński, stanowią kandydatów wskazanych przez Wspólników, przez co Wspólnicy zapewnili sobie rzeczywistą kontrolę nad działalnością Rady Nadzorczej.</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Z uwagi na ukształtowane w przepisach prawa zasady funkcjonowania spółki z ograniczoną odpowiedzialnością, członek rady nadzorczej w spółce nie może stanowić przedstawiciela (reprezentanta) jednego, czy kilku wspólników. Członek rady nadzorczej nie może reprezentować interesów wyłącznie jednego, czy też kilku wspólników. Wykonywanie obowiązków przez członków rady nadzorczej odbywa się z zachowaniem staranności wynikającej z zawodowego charakteru ich działalności. W odniesieniu do członków wszystkich organów spółki, przy ocenie ich postępowania następuje odejście od przeciętnej, ogólnie wymaganej w stosunkach danego rodzaju staranności i obowiązuje swoisty miernik związany z rzetelnością, wiedzą, sumiennością, jaka powinna cechować profesjonalistów, a więc osoby, od których należy wymagać więcej niż od przeciętnego uczestnika obrotu. Członkowie rady nadzorczej tak jak członkowie zarządu, objęci są obowiązkiem lojalności wobec spółki (art. 214¹ § 2 ksh). Obowiązek ten ma bezterminowy charakter, co oznacza, że członkowie tych organów zobowiązani są do zachowania lojalności wobec spółki również zaprzestaniu pełnienia funkcji w organie spółki.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Członkowie Rady Nadzorczej BT zobowiązani są więc do działania w interesie BT, a nie w interesie Wspólników, czy też określonego Wspólnika. Celem działalności Rady Nadzorczej BT jest sprawowanie – w imieniu Wspólników – nadzoru nad działalnością BT i Zarządu spółki. Rada Nadzorcza działa więc w ogólnym interesie Spółki i Wspólników Spółki. Jednakże, mając na uwadze wyżej wskazane przepisy ksh, członek rady nadzorczej nie może działać wyłącznie w interesie jednego, czy też kilku wspólników, w oderwaniu od interesu spółki. Wspólnik spółki nie może również przekazać członkowi rady nadzorczej wiążących wytycznych co do działania w danej sprawie, czy sposobu załatwienia danej sprawy. Takie kompetencje przysługują wyłącznie wszystkim wspólnikom łącznie – zgromadzeniu wspólników. Członkowie rady nadzorczej pełnią swoją funkcję samodzielnie i nie wykonują poleceń wspólnika (nawet w przypadku, gdyby to ten wspólnik powołał członka w skład organu). Członek rady nadzorczej, zgodnie przepisami, zobowiązany jest do zachowania lojalności wobec spółki, a nie wobec wspólnika czy wspólników.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W skład Rady Nadzorczej BT wchodzą więc przedstawiciele wszystkich uczestniczących Zamawiających – Wspólników.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Rada Nadzorcza, z ramienia Wspólników, sprawuje nadzór nad działalnością BT. W szczególności Rada Nadzorcza posiada kompetencje w zakresie: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wyrażania zgody na podejmowanie inwestycji, zaciąganie zobowiązań lub zawieranie umów o wartości przekraczającej kwotę 100.000 zł, z wyjątkiem inwestycji, umów i zobowiązań, na które zgody udziela Zgromadzenie Wspólników,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zwoływania Nadzwyczajnych Zgromadzeń Wspólników, jeżeli zwołanie go uzna za wskazane, a Zarząd nie zwoła Zgromadzenia Wspólników w terminie dwóch tygodni od dnia zgłoszenia odpowiedniego żądania przez Radę Nadzorczą,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zawieszania z ważnych powodów członków Zarządu w pełnieniu obowiązków,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badania bilansu, rachunku zysków i strat oraz przepływu środków pieniężnych,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badania sprawozdania Zarządu Spółki,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stałego monitorowania stopnia realizacji przyjętych przez Zgromadzenie Wspólników w  planach operacyjnych i  finansowych  parametrów ekonomicznych, docelowych wyników ekonomiczno-finansowych oraz zadań zleconych do wykonania Spółce,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dokonywania bieżących kontroli poszczególnych obszarów działalności Spółki,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egzekwowania od Zarządu terminowej realizacji obowiązków informacyjnych i sprawozdawczych wobec podmiotów wykonujących prawa z udziałów oraz reagowanie na stwierdzone nieprawidłowości,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monitorowania i kontrola istotnych dla Spółki decyzji Zarządu, </w:t>
      </w:r>
    </w:p>
    <w:p>
      <w:pPr>
        <w:pStyle w:val="ListParagraph"/>
        <w:numPr>
          <w:ilvl w:val="0"/>
          <w:numId w:val="2"/>
        </w:numPr>
        <w:spacing w:lineRule="auto" w:line="312" w:before="0" w:after="0"/>
        <w:ind w:left="426" w:hanging="426"/>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udzielania zgody Zarządowi lub wyrażania opinii dla Zgromadzenia Wspólników odnośnie podjęcia działań skutkujących wzrostem zobowiązań, udzielania gwarancji poręczeń majątkowych oraz w zakresie rozporządzania składnikami aktywów trwałych ponad limity wynikające z umowy Spółki. </w:t>
      </w:r>
    </w:p>
    <w:p>
      <w:pPr>
        <w:pStyle w:val="Normal"/>
        <w:spacing w:lineRule="auto" w:line="312"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Zarząd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Aktualnie w skład Zarządu BT wchodzi jedna osoba – Prezes Zarządu Anna Kamińska. Ten Członek Zarządu BT stanowi przedstawiciela każdego ze Wspólników – uczestniczących Zamawiających.</w:t>
      </w:r>
    </w:p>
    <w:p>
      <w:pPr>
        <w:pStyle w:val="Normal"/>
        <w:spacing w:lineRule="auto" w:line="312" w:before="0" w:after="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Rada Nadzorcza powołuje i odwołuje członków Zarządu. Rada Nadzorcza nie ma swobody w wyborze członków Zarządu, gdyż są oni powoływani spośród kandydatów wskazanych przez Wspólników.</w:t>
      </w:r>
      <w:r>
        <w:rPr>
          <w:rFonts w:eastAsia="Times New Roman" w:cs="Times New Roman" w:ascii="Times New Roman" w:hAnsi="Times New Roman"/>
          <w:sz w:val="24"/>
          <w:szCs w:val="24"/>
          <w:lang w:eastAsia="pl-PL"/>
        </w:rPr>
        <w:t xml:space="preserve"> Przed odwołaniem członków Zarządu Rada Nadzorcza zasięga opinii Wspólników, a następnie powiadamia Wspólników o podjęciu uchwały w sprawie odwołania.</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pl-PL"/>
        </w:rPr>
        <w:t>Taka struktura powoływania członków organów BT, zapewnia kontrolującym Zamawiającym wpływ zarówno na skład Rady Nadzorczej, jak i skład Zarządu.</w:t>
      </w:r>
    </w:p>
    <w:p>
      <w:pPr>
        <w:pStyle w:val="Normal"/>
        <w:spacing w:lineRule="auto" w:line="312" w:before="0" w:after="0"/>
        <w:jc w:val="both"/>
        <w:rPr>
          <w:rFonts w:ascii="Times New Roman" w:hAnsi="Times New Roman" w:cs="Times New Roman"/>
          <w:iCs/>
          <w:sz w:val="24"/>
          <w:szCs w:val="24"/>
        </w:rPr>
      </w:pPr>
      <w:r>
        <w:rPr>
          <w:rFonts w:cs="Times New Roman" w:ascii="Times New Roman" w:hAnsi="Times New Roman"/>
          <w:iCs/>
          <w:sz w:val="24"/>
          <w:szCs w:val="24"/>
        </w:rPr>
        <w:t>Tak wybrani Członkowie Zarządu stanowią przedstawicieli wszystkich uczestniczących Wspólników.</w:t>
      </w:r>
      <w:r>
        <w:rPr/>
        <w:t xml:space="preserve"> </w:t>
      </w:r>
      <w:r>
        <w:rPr>
          <w:rFonts w:cs="Times New Roman" w:ascii="Times New Roman" w:hAnsi="Times New Roman"/>
          <w:iCs/>
          <w:sz w:val="24"/>
          <w:szCs w:val="24"/>
        </w:rPr>
        <w:t>Z uwagi na ukształtowane w przepisach prawa zasady funkcjonowania spółki z ograniczoną odpowiedzialnością, członek zarządu w spółce nie może stanowić przedstawiciela (reprezentanta) jednego, czy kilku wspólników. Członek zarządu nie może reprezentować interesów wyłącznie jednego, czy też kilku wspólników.</w:t>
      </w:r>
    </w:p>
    <w:p>
      <w:pPr>
        <w:pStyle w:val="Normal"/>
        <w:spacing w:lineRule="auto" w:line="312" w:before="0" w:after="0"/>
        <w:jc w:val="both"/>
        <w:rPr>
          <w:rFonts w:ascii="Times New Roman" w:hAnsi="Times New Roman" w:cs="Times New Roman"/>
          <w:iCs/>
          <w:sz w:val="24"/>
          <w:szCs w:val="24"/>
        </w:rPr>
      </w:pPr>
      <w:r>
        <w:rPr>
          <w:rFonts w:cs="Times New Roman" w:ascii="Times New Roman" w:hAnsi="Times New Roman"/>
          <w:iCs/>
          <w:sz w:val="24"/>
          <w:szCs w:val="24"/>
        </w:rPr>
        <w:t>Wykonywanie obowiązków przez członków zarządu odbywa się z zachowaniem staranności wynikającej z zawodowego charakteru ich działalności. Przy ocenie ich postępowania następuje odejście od przeciętnej, ogólnie wymaganej w stosunkach danego rodzaju staranności i obowiązuje swoisty miernik związany z rzetelnością, wiedzą, sumiennością, jaka powinna cechować profesjonalistów, a więc osoby, od których należy wymagać więcej niż od przeciętnego uczestnika obrotu.</w:t>
      </w:r>
    </w:p>
    <w:p>
      <w:pPr>
        <w:pStyle w:val="Normal"/>
        <w:spacing w:lineRule="auto" w:line="312" w:before="0" w:after="0"/>
        <w:jc w:val="both"/>
        <w:rPr>
          <w:rFonts w:ascii="Times New Roman" w:hAnsi="Times New Roman" w:cs="Times New Roman"/>
          <w:iCs/>
          <w:sz w:val="24"/>
          <w:szCs w:val="24"/>
        </w:rPr>
      </w:pPr>
      <w:r>
        <w:rPr>
          <w:rFonts w:cs="Times New Roman" w:ascii="Times New Roman" w:hAnsi="Times New Roman"/>
          <w:iCs/>
          <w:sz w:val="24"/>
          <w:szCs w:val="24"/>
        </w:rPr>
        <w:t xml:space="preserve">Członkowie zarządu, objęci są obowiązkiem lojalności wobec spółki (art. 214¹ § 2 ksh). Obowiązek ten ma bezterminowy charakter, co oznacza, że zobowiązani są oni do zachowania lojalności wobec spółki również zaprzestaniu pełnienia funkcji w organie spółki. </w:t>
      </w:r>
    </w:p>
    <w:p>
      <w:pPr>
        <w:pStyle w:val="Normal"/>
        <w:spacing w:lineRule="auto" w:line="312" w:before="0" w:after="0"/>
        <w:jc w:val="both"/>
        <w:rPr>
          <w:rFonts w:ascii="Times New Roman" w:hAnsi="Times New Roman" w:cs="Times New Roman"/>
          <w:iCs/>
          <w:sz w:val="24"/>
          <w:szCs w:val="24"/>
        </w:rPr>
      </w:pPr>
      <w:r>
        <w:rPr>
          <w:rFonts w:cs="Times New Roman" w:ascii="Times New Roman" w:hAnsi="Times New Roman"/>
          <w:iCs/>
          <w:sz w:val="24"/>
          <w:szCs w:val="24"/>
        </w:rPr>
        <w:t>Członkowie Zarządu BT zobowiązani są więc do działania w interesie BT, a nie w interesie Wspólników, czy też określonego Wspólnika. Celem działalności Zarządu jest prowadzenie spraw BT i reprezentowanie jej na zewnątrz. Zarząd działa więc w ogólnym interesie BT i Wspólników BT. Jednakże, mając na uwadze wyżej wskazane przepisy ksh, członek zarządu nie może działać wyłącznie w interesie jednego, czy też kilku wspólników, w oderwaniu od interesu spółki. Wspólnik spółki nie może również przekazać członkowi zarządu wiążących wytycznych co do działania w danej sprawie, czy sposobu załatwienia danej sprawy. Takie kompetencje przysługują wyłącznie wszystkim wspólnikom łącznie – zgromadzeniu wspólników oraz radzie nadzorczej. Członkowie zarządu pełnią swoją funkcję samodzielnie i nie wykonują poleceń wspólnika (nawet w przypadku, gdyby to ten wspólnik powołał członka w skład organu). Członek zarządu, zgodnie z przepisami, zobowiązany jest do zachowania lojalności wobec spółki, a nie wobec wspólnika czy wspólników.</w:t>
      </w:r>
    </w:p>
    <w:p>
      <w:pPr>
        <w:pStyle w:val="Normal"/>
        <w:spacing w:lineRule="auto" w:line="312" w:before="0" w:after="0"/>
        <w:jc w:val="both"/>
        <w:rPr>
          <w:rFonts w:ascii="Times New Roman" w:hAnsi="Times New Roman" w:cs="Times New Roman"/>
          <w:i/>
          <w:i/>
          <w:sz w:val="24"/>
          <w:szCs w:val="24"/>
        </w:rPr>
      </w:pPr>
      <w:r>
        <w:rPr>
          <w:rFonts w:cs="Times New Roman" w:ascii="Times New Roman" w:hAnsi="Times New Roman"/>
          <w:iCs/>
          <w:sz w:val="24"/>
          <w:szCs w:val="24"/>
        </w:rPr>
        <w:t>Zgodnie z Pzp, poszczególny przedstawiciel może reprezentować więcej niż jednego zamawiającego sprawujące kontrolę. We skład wszystkich organów BT, tj. w Zgromadzenia Wspólników, Zarządu i Rady Nadzorczej wchodzą przedstawiciele wszystkich uczestniczących Zamawiających, przy czym w Zarządzie i Radzie Nadzorczej jeden przedstawiciel reprezentuje więcej niż jednego Zamawiającego. Jak wskazuje Urząd Zamówień Publicznych: „</w:t>
      </w:r>
      <w:r>
        <w:rPr>
          <w:rFonts w:cs="Times New Roman" w:ascii="Times New Roman" w:hAnsi="Times New Roman"/>
          <w:i/>
          <w:iCs/>
          <w:sz w:val="24"/>
          <w:szCs w:val="24"/>
        </w:rPr>
        <w:t>Przesłanka minimalnego składu organów decyzyjnych kontrolowanej osoby prawnej oznacza, że reprezentowani w tym składzie powinni być wszyscy zamawiający, co nie oznacza, że każdy zamawiający musi mieć swojego przedstawiciela (przedstawiciel może reprezentować jednego, kilku lub wszystkich zamawiających) ani że w skład takich organów mogą wchodzić tylko zamawiający</w:t>
      </w:r>
      <w:r>
        <w:rPr>
          <w:rFonts w:cs="Times New Roman" w:ascii="Times New Roman" w:hAnsi="Times New Roman"/>
          <w:iCs/>
          <w:sz w:val="24"/>
          <w:szCs w:val="24"/>
        </w:rPr>
        <w:t>”</w:t>
      </w:r>
      <w:r>
        <w:rPr/>
        <w:t xml:space="preserve"> (</w:t>
      </w:r>
      <w:r>
        <w:rPr>
          <w:rFonts w:cs="Times New Roman" w:ascii="Times New Roman" w:hAnsi="Times New Roman"/>
          <w:iCs/>
          <w:sz w:val="24"/>
          <w:szCs w:val="24"/>
        </w:rPr>
        <w:t>P. Nowicki, M. Romańska, M. Smaga, Prawo zamówień publicznych. Komentarz, Urząd Zamówień Publicznych, Warszawa 2021, s. 671-672). Ponadto, zgodnie z wyrokiem Krajowej Izby Odwoławczej: „</w:t>
      </w:r>
      <w:r>
        <w:rPr>
          <w:rFonts w:cs="Times New Roman" w:ascii="Times New Roman" w:hAnsi="Times New Roman"/>
          <w:i/>
          <w:sz w:val="24"/>
          <w:szCs w:val="24"/>
        </w:rPr>
        <w:t xml:space="preserve">Powyższe należy również wywieść z art. 12 ust. 3 lit. i Dyrektywy Parlamentu Europejskiego i Rady 2014/24/UE z dnia 26 lutego 2014 r. w sprawie zamówień publicznych, gdzie stwierdza się, że poszczególni przedstawiciele mogą reprezentować wszystkie uczestniczące instytucje zamawiające. W konsekwencji należy zgodzić się z Zamawiającym, że żaden członek Zarządu czy Rady Nadzorczej nie reprezentuje konkretnego wspólnika. Każdy bowiem reprezentuje każdego. Rada Nadzorcza rozpatruje wnioski wspólników, ale nie jest tak jakoby jeden członek Rady Nadzorczej oraz Zarządu był przypisany do konkretnego wspólnika. Tym bardziej, że członek Rady Nadzorczej, czy Zarządu zobowiązany jest do działania w interesie Spółki, a nie w interesie wspólnika/wspólników, gdyż są objęcie obowiązkiem lojalności wobec Spółki (art. 2141 k.s.h.), nie może więc znaleźć się w sytuacji "konfliktów interesów", gdyż reprezentuje interesy Spółki, a nie interesy konkretnych wspólników. Tym bardziej, że z art. 293 k.s.h. wynika odpowiedzialność odszkodowawcza Rady Nadzorczej i Zarządu za szkody wyrządzone Spółce. Członek Zarządu rozważa interesy różnych wspólników i samodzielnie podejmuje decyzje zgodnie z interesem Spółki i decyzje podejmowane są w ramach uchwały Rady Nadzorczej. Dodatkowo, za uznaniem każdego członka Rady Nadzorczej za przedstawiciela każdego ze wspólników przemawia fakt, że zostali oni wybrani jednogłośnie, o czym świadczy przedłożony jako dowód do odpowiedzi do odwołania Protokół Skrutacyjny. Powyższe Zamawiający przedłożył w odpowiedzi na argumentację i wątpliwości Odwołującego z odwołania. Przy czym, nawet gdyby dany wspólnik został przegłosowany, dana osoba nadal byłaby przedstawicielem tego wspólnika i wszystkich pozostałych. </w:t>
      </w:r>
      <w:r>
        <w:rPr>
          <w:rFonts w:cs="Times New Roman" w:ascii="Times New Roman" w:hAnsi="Times New Roman"/>
          <w:iCs/>
          <w:sz w:val="24"/>
          <w:szCs w:val="24"/>
        </w:rPr>
        <w:t>(...)</w:t>
      </w:r>
      <w:r>
        <w:rPr>
          <w:rFonts w:cs="Times New Roman" w:ascii="Times New Roman" w:hAnsi="Times New Roman"/>
          <w:i/>
          <w:sz w:val="24"/>
          <w:szCs w:val="24"/>
        </w:rPr>
        <w:t xml:space="preserve"> Przesłanka minimalnego składu organów decyzyjnych kontrolowanej osoby prawnej oznacza, że reprezentowani w tym składzie powinni być wszyscy zamawiający, co nie oznacza, że każdy zamawiający musi mieć swojego przedstawiciela (przedstawiciel może reprezentować jednego, kilku lub wszystkich zamawiających) ani że w skład takich organów mogą wchodzić tylko zamawiający. Decydujący jest rzeczywisty wpływ danego pojedynczego zamawiającego na procedury decyzyjne w osobie prawnej, co nie oznacza, że będzie to wpływ skuteczny.</w:t>
      </w:r>
    </w:p>
    <w:p>
      <w:pPr>
        <w:pStyle w:val="Normal"/>
        <w:spacing w:lineRule="auto" w:line="312" w:before="0" w:after="0"/>
        <w:jc w:val="both"/>
        <w:rPr>
          <w:rFonts w:ascii="Times New Roman" w:hAnsi="Times New Roman" w:cs="Times New Roman"/>
          <w:iCs/>
          <w:sz w:val="24"/>
          <w:szCs w:val="24"/>
        </w:rPr>
      </w:pPr>
      <w:r>
        <w:rPr>
          <w:rFonts w:cs="Times New Roman" w:ascii="Times New Roman" w:hAnsi="Times New Roman"/>
          <w:i/>
          <w:sz w:val="24"/>
          <w:szCs w:val="24"/>
        </w:rPr>
        <w:t>Zamawiający występujący w gronie innych zamawiających działających wspólnie może przykładowo zostać przegłosowany i cele, które chciał wyznaczyć osobie prawnej, nie zostaną wyznaczone. Nie oznacza to, że nie kontroluje on takiej jednostki w sposób umożliwiający udzielenie jej zamówień z wolnej ręki. Zawarta w art. 214 ust. 1 pkt 13 lit. a Pzp przesłanka niedziałania w interesie sprzecznym z interesami zamawiających sprawujących nad osobą prawną kontrolę oznacza, że kontrolowana osoba prawna nie musi wyrażać celów każdego z zamawiających, istotne jest, żeby nie stała tym celom na przeszkodzie</w:t>
      </w:r>
      <w:r>
        <w:rPr>
          <w:rFonts w:cs="Times New Roman" w:ascii="Times New Roman" w:hAnsi="Times New Roman"/>
          <w:iCs/>
          <w:sz w:val="24"/>
          <w:szCs w:val="24"/>
        </w:rPr>
        <w:t>” (Wyrok Krajowej Izby Odwoławczej z dnia 14 marca 2023 r., sygn. akt: KIO 521/23).</w:t>
      </w:r>
    </w:p>
    <w:p>
      <w:pPr>
        <w:pStyle w:val="ListParagraph"/>
        <w:numPr>
          <w:ilvl w:val="0"/>
          <w:numId w:val="5"/>
        </w:numPr>
        <w:tabs>
          <w:tab w:val="clear" w:pos="708"/>
          <w:tab w:val="left" w:pos="426" w:leader="none"/>
        </w:tabs>
        <w:spacing w:lineRule="auto" w:line="312" w:before="0" w:after="0"/>
        <w:ind w:left="426" w:hanging="426"/>
        <w:contextualSpacing/>
        <w:jc w:val="both"/>
        <w:rPr>
          <w:rFonts w:ascii="Times New Roman" w:hAnsi="Times New Roman" w:cs="Times New Roman"/>
          <w:b/>
          <w:bCs/>
          <w:sz w:val="24"/>
          <w:szCs w:val="24"/>
        </w:rPr>
      </w:pPr>
      <w:r>
        <w:rPr>
          <w:rFonts w:cs="Times New Roman" w:ascii="Times New Roman" w:hAnsi="Times New Roman"/>
          <w:b/>
          <w:bCs/>
          <w:sz w:val="24"/>
          <w:szCs w:val="24"/>
        </w:rPr>
        <w:t xml:space="preserve">Wykonywanie działalności głównie na rzecz kontrolujących Zamawiających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Ponad 90% działalności BT dotyczy wykonywania zadań powierzonych jej przez Zamawiających sprawujących nad nią kontrolę. W celu potwierdzenia procentowego udziału działalności wykonywanej przez BT w ramach zadań powierzonych jej przez Wspólników, w stosunku do działalności ogółem, zlecono sporządzenie wiarygodnej analizy finansowej, a w 2023 r. również prognozy finansowej. Udział procentowy działalności wykonywanej na rzecz kontrolujących Zamawiających ustalono w oparciu o wiarygodną analizę finansową. Sporządzenie analizy finansowej zlecono niezależnemu rzeczoznawcy. Przedmiotem analizy rzeczoznawcy było:</w:t>
      </w:r>
    </w:p>
    <w:p>
      <w:pPr>
        <w:pStyle w:val="ListParagraph"/>
        <w:numPr>
          <w:ilvl w:val="0"/>
          <w:numId w:val="3"/>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sporządzenie wiarygodnej analizy finansowej celem określenia, jaki zakres działalności BT dotyczy wykonywania zadań powierzonych jej przez podmioty sprawujące  nad nią kontrolę (Gminy i Związek Gmin, będących Wspólnikami BT),</w:t>
      </w:r>
    </w:p>
    <w:p>
      <w:pPr>
        <w:pStyle w:val="ListParagraph"/>
        <w:numPr>
          <w:ilvl w:val="0"/>
          <w:numId w:val="3"/>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dokonanie analizy i określenie, jaki procentowo zakres działalności BT, w latach 2021 r. – 2023 r., dotyczył wykonywania zadań powierzonych jej przez podmioty sprawujące nad nią kontrolę (Gminy i Związek Gmin, będących Wspólnikami BT).</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We wnioskach analizy finansowej wartości przychodów BT za lata 2021 r. – 2023 r., sporządzonej we wrześniu 2024 r., stwierdzono, że:</w:t>
      </w:r>
    </w:p>
    <w:p>
      <w:pPr>
        <w:pStyle w:val="ListParagraph"/>
        <w:numPr>
          <w:ilvl w:val="0"/>
          <w:numId w:val="4"/>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w latach 2021 r. – 2023 r. BT wykonywał działalność wyłącznie na rzecz podmiotów sprawujących kontrolę nad Spółką, czyli 100% działalności BT dotyczyło wykonywania zadań na rzecz Gmin będących wspólnikami BT, </w:t>
      </w:r>
    </w:p>
    <w:p>
      <w:pPr>
        <w:pStyle w:val="ListParagraph"/>
        <w:numPr>
          <w:ilvl w:val="0"/>
          <w:numId w:val="4"/>
        </w:numPr>
        <w:spacing w:lineRule="auto" w:line="312" w:before="0" w:after="0"/>
        <w:ind w:left="284" w:hanging="284"/>
        <w:contextualSpacing w:val="false"/>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Na podstawie przeprowadzonych analiz można jednoznacznie stwierdzić, że BiomTrans spełnia przesłanki zawarte w art. 214 ust. 1 pkt 13 lit. b) PZP umożliwiające udzielenie powierzenia w trybie z wolnej ręki („in-house”) ponieważ udział zadań powierzonych przez Zamawiających (Wspólników), jak wykazano powyżej, wynosił w okresie lat 2021 -  2023, 100% wartości uzyskanych w toku działalności przychodów</w:t>
      </w:r>
      <w:r>
        <w:rPr>
          <w:rFonts w:cs="Times New Roman" w:ascii="Times New Roman" w:hAnsi="Times New Roman"/>
          <w:sz w:val="24"/>
          <w:szCs w:val="24"/>
        </w:rPr>
        <w:t>”.</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Ponadto, również w 2024 r. BT wykonywała zadania wyłącznie na rzecz kontrolujących ją Zamawiających. W kolejnych latach BT ma wykonywać działalność także wyłącznie na rzecz kontrolujących Zamawiających – Wspólników. Potwierdza to w szczególności Prognoza Wielkości Przychodów Handlowych na lata 2023 – 2026 sporządzona w styczniu 2023 r., która w tym zakresie pozostaje aktualna.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Zgodnie więc z celem utworzenia BT, jakim jest wykonywanie zadań własnych Wspólników, 100% działalności BT dotyczy i dotyczyć będzie wykonywania zadań powierzonych jej przez Zamawiających sprawujących nad nią kontrolę.</w:t>
      </w:r>
    </w:p>
    <w:p>
      <w:pPr>
        <w:pStyle w:val="ListParagraph"/>
        <w:numPr>
          <w:ilvl w:val="0"/>
          <w:numId w:val="5"/>
        </w:numPr>
        <w:spacing w:lineRule="auto" w:line="312" w:before="0" w:after="0"/>
        <w:ind w:left="426" w:hanging="426"/>
        <w:contextualSpacing/>
        <w:jc w:val="both"/>
        <w:rPr>
          <w:rFonts w:ascii="Times New Roman" w:hAnsi="Times New Roman" w:cs="Times New Roman"/>
          <w:b/>
          <w:bCs/>
          <w:sz w:val="24"/>
          <w:szCs w:val="24"/>
        </w:rPr>
      </w:pPr>
      <w:r>
        <w:rPr>
          <w:rFonts w:cs="Times New Roman" w:ascii="Times New Roman" w:hAnsi="Times New Roman"/>
          <w:b/>
          <w:bCs/>
          <w:sz w:val="24"/>
          <w:szCs w:val="24"/>
        </w:rPr>
        <w:t xml:space="preserve">Brak udziału kapitału prywatnego </w:t>
      </w:r>
    </w:p>
    <w:p>
      <w:pPr>
        <w:pStyle w:val="Normal"/>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W kontrolowanej osobie prawnej – BT, nie ma bezpośredniego udziału kapitału prywatnego. Wspólnikami BT są w/w Gminy i Związek Gmin. Posiadają oni wszystkie udziały BT. W kapitale BT nie ma więc bezpośredniego udziału kapitału prywatnego.  </w:t>
      </w:r>
    </w:p>
    <w:p>
      <w:pPr>
        <w:pStyle w:val="Normal"/>
        <w:spacing w:lineRule="auto" w:line="312"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12"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12"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12" w:before="0" w:after="0"/>
        <w:jc w:val="both"/>
        <w:rPr>
          <w:rFonts w:ascii="Times New Roman" w:hAnsi="Times New Roman" w:cs="Times New Roman"/>
          <w:b/>
          <w:bCs/>
          <w:sz w:val="20"/>
          <w:szCs w:val="20"/>
        </w:rPr>
      </w:pPr>
      <w:r>
        <w:rPr>
          <w:rFonts w:cs="Times New Roman" w:ascii="Times New Roman" w:hAnsi="Times New Roman"/>
          <w:b/>
          <w:bCs/>
          <w:sz w:val="20"/>
          <w:szCs w:val="20"/>
        </w:rPr>
        <w:t>Załączniki:</w:t>
      </w:r>
    </w:p>
    <w:p>
      <w:pPr>
        <w:pStyle w:val="ListParagraph"/>
        <w:numPr>
          <w:ilvl w:val="0"/>
          <w:numId w:val="7"/>
        </w:numPr>
        <w:spacing w:lineRule="auto" w:line="312" w:before="0" w:after="0"/>
        <w:ind w:left="284" w:hanging="284"/>
        <w:contextualSpacing/>
        <w:jc w:val="both"/>
        <w:rPr>
          <w:rFonts w:ascii="Times New Roman" w:hAnsi="Times New Roman" w:cs="Times New Roman"/>
          <w:sz w:val="20"/>
          <w:szCs w:val="20"/>
        </w:rPr>
      </w:pPr>
      <w:r>
        <w:rPr>
          <w:rFonts w:cs="Times New Roman" w:ascii="Times New Roman" w:hAnsi="Times New Roman"/>
          <w:sz w:val="20"/>
          <w:szCs w:val="20"/>
        </w:rPr>
        <w:t xml:space="preserve">Analiza finansowa – ustalenie wskaźnika udziału przychodów z działalności powierzonej w wartości przychodów za lata 2021 – 2023, </w:t>
      </w:r>
    </w:p>
    <w:p>
      <w:pPr>
        <w:pStyle w:val="ListParagraph"/>
        <w:numPr>
          <w:ilvl w:val="0"/>
          <w:numId w:val="6"/>
        </w:numPr>
        <w:spacing w:lineRule="auto" w:line="312" w:before="0" w:after="0"/>
        <w:ind w:left="284" w:hanging="284"/>
        <w:contextualSpacing/>
        <w:jc w:val="both"/>
        <w:rPr>
          <w:rFonts w:ascii="Times New Roman" w:hAnsi="Times New Roman" w:cs="Times New Roman"/>
          <w:sz w:val="20"/>
          <w:szCs w:val="20"/>
        </w:rPr>
      </w:pPr>
      <w:r>
        <w:rPr>
          <w:rFonts w:cs="Times New Roman" w:ascii="Times New Roman" w:hAnsi="Times New Roman"/>
          <w:sz w:val="20"/>
          <w:szCs w:val="20"/>
        </w:rPr>
        <w:t xml:space="preserve">Prognoza Wielkości Przychodów Handlowych na lata 2023 – 2026. </w:t>
      </w:r>
    </w:p>
    <w:sectPr>
      <w:type w:val="nextPage"/>
      <w:pgSz w:w="11906" w:h="16838"/>
      <w:pgMar w:left="1418"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4f2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semiHidden/>
    <w:unhideWhenUsed/>
    <w:qFormat/>
    <w:rsid w:val="0079265c"/>
    <w:rPr>
      <w:sz w:val="16"/>
      <w:szCs w:val="16"/>
    </w:rPr>
  </w:style>
  <w:style w:type="character" w:styleId="TekstkomentarzaZnak" w:customStyle="1">
    <w:name w:val="Tekst komentarza Znak"/>
    <w:basedOn w:val="DefaultParagraphFont"/>
    <w:link w:val="Annotationtext"/>
    <w:uiPriority w:val="99"/>
    <w:semiHidden/>
    <w:qFormat/>
    <w:rsid w:val="0079265c"/>
    <w:rPr>
      <w:sz w:val="20"/>
      <w:szCs w:val="20"/>
    </w:rPr>
  </w:style>
  <w:style w:type="character" w:styleId="TematkomentarzaZnak" w:customStyle="1">
    <w:name w:val="Temat komentarza Znak"/>
    <w:basedOn w:val="TekstkomentarzaZnak"/>
    <w:link w:val="Annotationsubject"/>
    <w:uiPriority w:val="99"/>
    <w:semiHidden/>
    <w:qFormat/>
    <w:rsid w:val="0079265c"/>
    <w:rPr>
      <w:b/>
      <w:bCs/>
      <w:sz w:val="20"/>
      <w:szCs w:val="20"/>
    </w:rPr>
  </w:style>
  <w:style w:type="character" w:styleId="TekstprzypisudolnegoZnak" w:customStyle="1">
    <w:name w:val="Tekst przypisu dolnego Znak"/>
    <w:basedOn w:val="DefaultParagraphFont"/>
    <w:uiPriority w:val="99"/>
    <w:semiHidden/>
    <w:qFormat/>
    <w:rsid w:val="00c050bd"/>
    <w:rPr>
      <w:rFonts w:ascii="Times New Roman" w:hAnsi="Times New Roman" w:cs="Times New Roman"/>
      <w:sz w:val="20"/>
      <w:szCs w:val="20"/>
    </w:rPr>
  </w:style>
  <w:style w:type="character" w:styleId="Znakiprzypiswdolnych">
    <w:name w:val="Znaki przypisów dolnych"/>
    <w:basedOn w:val="DefaultParagraphFont"/>
    <w:uiPriority w:val="99"/>
    <w:semiHidden/>
    <w:unhideWhenUsed/>
    <w:qFormat/>
    <w:rsid w:val="00c050bd"/>
    <w:rPr>
      <w:vertAlign w:val="superscript"/>
    </w:rPr>
  </w:style>
  <w:style w:type="character" w:styleId="Zakotwiczenieprzypisudolnego">
    <w:name w:val="Foot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6e4f20"/>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79265c"/>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9265c"/>
    <w:pPr/>
    <w:rPr>
      <w:b/>
      <w:bCs/>
    </w:rPr>
  </w:style>
  <w:style w:type="paragraph" w:styleId="Revision">
    <w:name w:val="Revision"/>
    <w:uiPriority w:val="99"/>
    <w:semiHidden/>
    <w:qFormat/>
    <w:rsid w:val="00b5149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Przypisdolny">
    <w:name w:val="Footnote Text"/>
    <w:basedOn w:val="Normal"/>
    <w:link w:val="TekstprzypisudolnegoZnak"/>
    <w:uiPriority w:val="99"/>
    <w:semiHidden/>
    <w:unhideWhenUsed/>
    <w:rsid w:val="00c050bd"/>
    <w:pPr>
      <w:spacing w:lineRule="auto" w:line="240" w:before="0" w:after="0"/>
    </w:pPr>
    <w:rPr>
      <w:rFonts w:ascii="Times New Roman" w:hAnsi="Times New Roman" w:cs="Times New Roman"/>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4B09-7D8C-4AA7-A3FC-912ABA32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Application>LibreOffice/7.5.1.2$Windows_X86_64 LibreOffice_project/fcbaee479e84c6cd81291587d2ee68cba099e129</Application>
  <AppVersion>15.0000</AppVersion>
  <Pages>9</Pages>
  <Words>3071</Words>
  <Characters>20395</Characters>
  <CharactersWithSpaces>23444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2023-02-13T15:11:00Z</dcterms:created>
  <dc:creator>Patrycja Oleksińska-Dąbrowska</dc:creator>
  <dc:description/>
  <dc:language>pl-PL</dc:language>
  <cp:lastModifiedBy/>
  <dcterms:modified xsi:type="dcterms:W3CDTF">2024-12-03T11:43:02Z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